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90037" w14:textId="77777777" w:rsidR="00D01BB4" w:rsidRPr="00D01BB4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субъектам социального предпринимательства и физическим лицам, заинтересованным в начале осуществления деятельности в области социального предпринимательства</w:t>
      </w:r>
    </w:p>
    <w:p w14:paraId="740A1292" w14:textId="77777777" w:rsidR="00D01BB4" w:rsidRPr="00D01BB4" w:rsidRDefault="00D01BB4" w:rsidP="00D01BB4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b/>
          <w:bCs/>
          <w:color w:val="212529"/>
          <w:lang w:eastAsia="ru-RU"/>
        </w:rPr>
        <w:t>Место оказания услуг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– Волгоградская область, г. Волгоград</w:t>
      </w:r>
    </w:p>
    <w:p w14:paraId="7F70A368" w14:textId="5AC522FF" w:rsidR="00D01BB4" w:rsidRDefault="00D01BB4" w:rsidP="00D01BB4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b/>
          <w:bCs/>
          <w:color w:val="212529"/>
          <w:lang w:eastAsia="ru-RU"/>
        </w:rPr>
      </w:pPr>
      <w:r w:rsidRPr="00D01BB4">
        <w:rPr>
          <w:rFonts w:ascii="PT-reg" w:eastAsia="Times New Roman" w:hAnsi="PT-reg" w:cs="Times New Roman"/>
          <w:b/>
          <w:bCs/>
          <w:color w:val="212529"/>
          <w:lang w:eastAsia="ru-RU"/>
        </w:rPr>
        <w:t>Срок оказания услуг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 xml:space="preserve">: с даты подписания договора по </w:t>
      </w:r>
      <w:r>
        <w:rPr>
          <w:rFonts w:ascii="PT-reg" w:eastAsia="Times New Roman" w:hAnsi="PT-reg" w:cs="Times New Roman"/>
          <w:color w:val="212529"/>
          <w:lang w:eastAsia="ru-RU"/>
        </w:rPr>
        <w:t>30 июня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 xml:space="preserve"> 2021 года.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br/>
      </w:r>
    </w:p>
    <w:p w14:paraId="41776E04" w14:textId="22C52030" w:rsidR="00D01BB4" w:rsidRPr="00D01BB4" w:rsidRDefault="00D01BB4" w:rsidP="00D01BB4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b/>
          <w:bCs/>
          <w:color w:val="212529"/>
          <w:lang w:eastAsia="ru-RU"/>
        </w:rPr>
        <w:t>Направления и формат консультаций, т</w:t>
      </w:r>
      <w:r w:rsidRPr="00D01BB4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ребования к объему оказываемых услуг:</w:t>
      </w:r>
    </w:p>
    <w:p w14:paraId="6BEB10F8" w14:textId="495079A0" w:rsidR="00D01BB4" w:rsidRDefault="00D01BB4" w:rsidP="00D01BB4">
      <w:pPr>
        <w:spacing w:after="0" w:line="240" w:lineRule="auto"/>
        <w:rPr>
          <w:rFonts w:ascii="PT-reg" w:hAnsi="PT-reg"/>
          <w:color w:val="212529"/>
          <w:shd w:val="clear" w:color="auto" w:fill="FFFFFF"/>
        </w:rPr>
      </w:pPr>
      <w:r>
        <w:rPr>
          <w:rFonts w:ascii="PT-reg" w:hAnsi="PT-reg"/>
          <w:b/>
          <w:bCs/>
          <w:color w:val="212529"/>
          <w:shd w:val="clear" w:color="auto" w:fill="FFFFFF"/>
        </w:rPr>
        <w:t>Вид консультационной услуги</w:t>
      </w:r>
      <w:r>
        <w:rPr>
          <w:rFonts w:ascii="PT-reg" w:hAnsi="PT-reg"/>
          <w:b/>
          <w:bCs/>
          <w:color w:val="212529"/>
          <w:shd w:val="clear" w:color="auto" w:fill="FFFFFF"/>
        </w:rPr>
        <w:t xml:space="preserve">: </w:t>
      </w:r>
      <w:r>
        <w:rPr>
          <w:rFonts w:ascii="PT-reg" w:hAnsi="PT-reg"/>
          <w:color w:val="212529"/>
          <w:shd w:val="clear" w:color="auto" w:fill="FFFFFF"/>
        </w:rPr>
        <w:t>к</w:t>
      </w:r>
      <w:r>
        <w:rPr>
          <w:rFonts w:ascii="PT-reg" w:hAnsi="PT-reg"/>
          <w:color w:val="212529"/>
          <w:shd w:val="clear" w:color="auto" w:fill="FFFFFF"/>
        </w:rPr>
        <w:t>онсультационные услуги по вопросам патентно-лицензионного сопровождения деятельности социальных предпринимателей</w:t>
      </w:r>
      <w:r>
        <w:rPr>
          <w:rFonts w:ascii="PT-reg" w:hAnsi="PT-reg"/>
          <w:color w:val="212529"/>
          <w:shd w:val="clear" w:color="auto" w:fill="FFFFFF"/>
        </w:rPr>
        <w:t>.</w:t>
      </w:r>
    </w:p>
    <w:p w14:paraId="449770F1" w14:textId="490B3D39" w:rsidR="00D01BB4" w:rsidRDefault="00D01BB4" w:rsidP="00D01BB4">
      <w:pPr>
        <w:spacing w:after="0" w:line="240" w:lineRule="auto"/>
        <w:rPr>
          <w:rFonts w:ascii="PT-reg" w:hAnsi="PT-reg"/>
          <w:color w:val="212529"/>
          <w:shd w:val="clear" w:color="auto" w:fill="FFFFFF"/>
        </w:rPr>
      </w:pPr>
      <w:r>
        <w:rPr>
          <w:rFonts w:ascii="PT-reg" w:hAnsi="PT-reg"/>
          <w:color w:val="212529"/>
          <w:shd w:val="clear" w:color="auto" w:fill="FFFFFF"/>
        </w:rPr>
        <w:t xml:space="preserve"> </w:t>
      </w:r>
      <w:r w:rsidRPr="00D01BB4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br/>
      </w:r>
      <w:r>
        <w:rPr>
          <w:rFonts w:ascii="PT-reg" w:hAnsi="PT-reg"/>
          <w:b/>
          <w:bCs/>
          <w:color w:val="333333"/>
          <w:shd w:val="clear" w:color="auto" w:fill="FFFFFF"/>
        </w:rPr>
        <w:t>Формат оказания консультаций</w:t>
      </w:r>
      <w:r>
        <w:rPr>
          <w:rFonts w:ascii="PT-reg" w:hAnsi="PT-reg"/>
          <w:b/>
          <w:bCs/>
          <w:color w:val="333333"/>
          <w:shd w:val="clear" w:color="auto" w:fill="FFFFFF"/>
        </w:rPr>
        <w:t xml:space="preserve">: </w:t>
      </w:r>
      <w:r>
        <w:rPr>
          <w:rFonts w:ascii="PT-reg" w:hAnsi="PT-reg"/>
          <w:color w:val="212529"/>
          <w:shd w:val="clear" w:color="auto" w:fill="FFFFFF"/>
        </w:rPr>
        <w:t>устно</w:t>
      </w:r>
      <w:r>
        <w:rPr>
          <w:rFonts w:ascii="PT-reg" w:hAnsi="PT-reg"/>
          <w:color w:val="212529"/>
          <w:shd w:val="clear" w:color="auto" w:fill="FFFFFF"/>
        </w:rPr>
        <w:t>/письменно/ по согласованию с Заказчиком</w:t>
      </w:r>
    </w:p>
    <w:p w14:paraId="4F389796" w14:textId="491C3434" w:rsidR="00D01BB4" w:rsidRDefault="00D01BB4" w:rsidP="00D01BB4">
      <w:pPr>
        <w:spacing w:after="0" w:line="240" w:lineRule="auto"/>
        <w:rPr>
          <w:rFonts w:ascii="PT-reg" w:hAnsi="PT-reg"/>
          <w:color w:val="212529"/>
          <w:shd w:val="clear" w:color="auto" w:fill="FFFFFF"/>
        </w:rPr>
      </w:pPr>
    </w:p>
    <w:p w14:paraId="4D55B418" w14:textId="663C3104" w:rsidR="00D01BB4" w:rsidRPr="00D01BB4" w:rsidRDefault="00D01BB4" w:rsidP="00D01BB4">
      <w:pPr>
        <w:spacing w:after="0" w:line="240" w:lineRule="auto"/>
        <w:rPr>
          <w:rFonts w:ascii="PT-reg" w:hAnsi="PT-reg"/>
          <w:b/>
          <w:bCs/>
          <w:color w:val="212529"/>
          <w:shd w:val="clear" w:color="auto" w:fill="FFFFFF"/>
        </w:rPr>
      </w:pPr>
      <w:r w:rsidRPr="00D01BB4">
        <w:rPr>
          <w:rFonts w:ascii="PT-reg" w:hAnsi="PT-reg"/>
          <w:b/>
          <w:bCs/>
          <w:color w:val="212529"/>
          <w:shd w:val="clear" w:color="auto" w:fill="FFFFFF"/>
        </w:rPr>
        <w:t>Количество консультаций: не менее 2</w:t>
      </w:r>
      <w:r>
        <w:rPr>
          <w:rFonts w:ascii="PT-reg" w:hAnsi="PT-reg"/>
          <w:b/>
          <w:bCs/>
          <w:color w:val="212529"/>
          <w:shd w:val="clear" w:color="auto" w:fill="FFFFFF"/>
        </w:rPr>
        <w:t>5</w:t>
      </w:r>
      <w:r w:rsidRPr="00D01BB4">
        <w:rPr>
          <w:rFonts w:ascii="PT-reg" w:hAnsi="PT-reg"/>
          <w:b/>
          <w:bCs/>
          <w:color w:val="212529"/>
          <w:shd w:val="clear" w:color="auto" w:fill="FFFFFF"/>
        </w:rPr>
        <w:t>.</w:t>
      </w:r>
    </w:p>
    <w:p w14:paraId="73DA3BA7" w14:textId="77777777" w:rsidR="00D01BB4" w:rsidRDefault="00D01BB4" w:rsidP="00D01BB4">
      <w:pPr>
        <w:spacing w:after="0" w:line="240" w:lineRule="auto"/>
        <w:rPr>
          <w:rFonts w:ascii="PT-reg" w:hAnsi="PT-reg"/>
          <w:color w:val="212529"/>
          <w:shd w:val="clear" w:color="auto" w:fill="FFFFFF"/>
        </w:rPr>
      </w:pPr>
    </w:p>
    <w:p w14:paraId="5A0B7925" w14:textId="49793943" w:rsidR="00D01BB4" w:rsidRDefault="00D01BB4" w:rsidP="00D01BB4">
      <w:pPr>
        <w:spacing w:after="0" w:line="240" w:lineRule="auto"/>
        <w:rPr>
          <w:rFonts w:ascii="PT-reg" w:hAnsi="PT-reg"/>
          <w:color w:val="212529"/>
          <w:shd w:val="clear" w:color="auto" w:fill="FFFFFF"/>
        </w:rPr>
      </w:pPr>
      <w:r w:rsidRPr="00D01BB4">
        <w:rPr>
          <w:rFonts w:ascii="PT-reg" w:hAnsi="PT-reg"/>
          <w:b/>
          <w:bCs/>
          <w:color w:val="212529"/>
          <w:shd w:val="clear" w:color="auto" w:fill="FFFFFF"/>
        </w:rPr>
        <w:t>Количество</w:t>
      </w:r>
      <w:r>
        <w:rPr>
          <w:rFonts w:ascii="PT-reg" w:hAnsi="PT-reg"/>
          <w:color w:val="212529"/>
          <w:shd w:val="clear" w:color="auto" w:fill="FFFFFF"/>
        </w:rPr>
        <w:t xml:space="preserve"> </w:t>
      </w:r>
      <w:r>
        <w:rPr>
          <w:rFonts w:ascii="PT-reg" w:hAnsi="PT-reg"/>
          <w:b/>
          <w:bCs/>
          <w:color w:val="212529"/>
          <w:shd w:val="clear" w:color="auto" w:fill="FFFFFF"/>
        </w:rPr>
        <w:t>получателей услуг (субъекты МСП</w:t>
      </w:r>
      <w:r>
        <w:rPr>
          <w:rFonts w:ascii="PT-reg" w:hAnsi="PT-reg"/>
          <w:b/>
          <w:bCs/>
          <w:color w:val="212529"/>
          <w:shd w:val="clear" w:color="auto" w:fill="FFFFFF"/>
        </w:rPr>
        <w:t>): не менее 20.</w:t>
      </w:r>
      <w:r>
        <w:rPr>
          <w:rFonts w:ascii="PT-reg" w:hAnsi="PT-reg"/>
          <w:color w:val="212529"/>
          <w:shd w:val="clear" w:color="auto" w:fill="FFFFFF"/>
        </w:rPr>
        <w:t xml:space="preserve"> </w:t>
      </w:r>
    </w:p>
    <w:p w14:paraId="3DAB0EEF" w14:textId="77777777" w:rsidR="00D01BB4" w:rsidRPr="00D01BB4" w:rsidRDefault="00D01BB4" w:rsidP="00D0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4A718" w14:textId="1C0BBC87" w:rsidR="00D01BB4" w:rsidRPr="00D01BB4" w:rsidRDefault="00D01BB4" w:rsidP="00D01BB4">
      <w:pPr>
        <w:shd w:val="clear" w:color="auto" w:fill="FFFFFF"/>
        <w:spacing w:after="24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b/>
          <w:bCs/>
          <w:color w:val="212529"/>
          <w:lang w:eastAsia="ru-RU"/>
        </w:rPr>
        <w:t>Требования к квалификации исполнителя (непосредственных исполнителей):</w:t>
      </w:r>
    </w:p>
    <w:p w14:paraId="791AF984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наличие профессиональной квалификации в той области, в которой оказывается консультация</w:t>
      </w:r>
    </w:p>
    <w:p w14:paraId="1AE326D5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опыт работы по необходимому для консультации направлению не менее 1 года.</w:t>
      </w:r>
    </w:p>
    <w:p w14:paraId="17556B5C" w14:textId="77777777" w:rsidR="00D01BB4" w:rsidRPr="00D01BB4" w:rsidRDefault="00D01BB4" w:rsidP="00D01BB4">
      <w:pPr>
        <w:shd w:val="clear" w:color="auto" w:fill="FFFFFF"/>
        <w:spacing w:after="270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b/>
          <w:bCs/>
          <w:color w:val="212529"/>
          <w:lang w:eastAsia="ru-RU"/>
        </w:rPr>
        <w:t>Условия предоставления услуг</w:t>
      </w:r>
    </w:p>
    <w:p w14:paraId="430461D1" w14:textId="77777777" w:rsidR="00D01BB4" w:rsidRPr="00D01BB4" w:rsidRDefault="00D01BB4" w:rsidP="00D01BB4">
      <w:pPr>
        <w:shd w:val="clear" w:color="auto" w:fill="FFFFFF"/>
        <w:spacing w:after="270" w:line="240" w:lineRule="auto"/>
        <w:ind w:left="36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color w:val="212529"/>
          <w:lang w:eastAsia="ru-RU"/>
        </w:rPr>
        <w:t>1.</w:t>
      </w:r>
      <w:r w:rsidRPr="00D01BB4">
        <w:rPr>
          <w:rFonts w:ascii="PT-reg" w:eastAsia="Times New Roman" w:hAnsi="PT-reg" w:cs="Times New Roman"/>
          <w:color w:val="212529"/>
          <w:sz w:val="14"/>
          <w:szCs w:val="14"/>
          <w:lang w:eastAsia="ru-RU"/>
        </w:rPr>
        <w:t>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Консультационные услуги предоставляются на основании запроса Заявителя.</w:t>
      </w:r>
    </w:p>
    <w:p w14:paraId="1A296E03" w14:textId="31C7021E" w:rsidR="00D01BB4" w:rsidRPr="00D01BB4" w:rsidRDefault="00D01BB4" w:rsidP="00D01BB4">
      <w:pPr>
        <w:shd w:val="clear" w:color="auto" w:fill="FFFFFF"/>
        <w:spacing w:after="270" w:line="240" w:lineRule="auto"/>
        <w:ind w:left="36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color w:val="212529"/>
          <w:lang w:eastAsia="ru-RU"/>
        </w:rPr>
        <w:t>2.</w:t>
      </w:r>
      <w:r w:rsidRPr="00D01BB4">
        <w:rPr>
          <w:rFonts w:ascii="PT-reg" w:eastAsia="Times New Roman" w:hAnsi="PT-reg" w:cs="Times New Roman"/>
          <w:color w:val="212529"/>
          <w:sz w:val="14"/>
          <w:szCs w:val="14"/>
          <w:lang w:eastAsia="ru-RU"/>
        </w:rPr>
        <w:t>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Запрос заявителя (субъекта МСП) может быть сформирован и направлен по электронной почте или в результате личного обращения в центр “Мой бизнес” или в офис Исполнителя.</w:t>
      </w:r>
    </w:p>
    <w:p w14:paraId="426E2FD3" w14:textId="77777777" w:rsidR="00D01BB4" w:rsidRPr="00D01BB4" w:rsidRDefault="00D01BB4" w:rsidP="00D01BB4">
      <w:pPr>
        <w:shd w:val="clear" w:color="auto" w:fill="FFFFFF"/>
        <w:spacing w:after="270" w:line="240" w:lineRule="auto"/>
        <w:ind w:left="360" w:hanging="360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color w:val="212529"/>
          <w:lang w:eastAsia="ru-RU"/>
        </w:rPr>
        <w:t>3.</w:t>
      </w:r>
      <w:r w:rsidRPr="00D01BB4">
        <w:rPr>
          <w:rFonts w:ascii="PT-reg" w:eastAsia="Times New Roman" w:hAnsi="PT-reg" w:cs="Times New Roman"/>
          <w:color w:val="212529"/>
          <w:sz w:val="14"/>
          <w:szCs w:val="14"/>
          <w:lang w:eastAsia="ru-RU"/>
        </w:rPr>
        <w:t>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Исполнитель при оказании услуг обязан:</w:t>
      </w:r>
    </w:p>
    <w:p w14:paraId="182D771D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удостовериться о внесении субъекта МСП в единый реестр субъектов малого и среднего предпринимательства (</w:t>
      </w:r>
      <w:hyperlink r:id="rId4" w:history="1">
        <w:r w:rsidRPr="00D01BB4">
          <w:rPr>
            <w:rFonts w:ascii="PT-reg" w:eastAsia="Times New Roman" w:hAnsi="PT-reg" w:cs="Times New Roman"/>
            <w:color w:val="0088CC"/>
            <w:u w:val="single"/>
            <w:lang w:eastAsia="ru-RU"/>
          </w:rPr>
          <w:t>https://rmsp.nalog.ru/index.html</w:t>
        </w:r>
      </w:hyperlink>
      <w:r w:rsidRPr="00D01BB4">
        <w:rPr>
          <w:rFonts w:ascii="PT-reg" w:eastAsia="Times New Roman" w:hAnsi="PT-reg" w:cs="Times New Roman"/>
          <w:color w:val="212529"/>
          <w:lang w:eastAsia="ru-RU"/>
        </w:rPr>
        <w:t>),</w:t>
      </w:r>
    </w:p>
    <w:p w14:paraId="233F55A0" w14:textId="7D0878B2" w:rsidR="00D01BB4" w:rsidRPr="00D01BB4" w:rsidRDefault="00D01BB4" w:rsidP="00D01BB4">
      <w:pPr>
        <w:shd w:val="clear" w:color="auto" w:fill="FFFFFF"/>
        <w:spacing w:after="270" w:line="240" w:lineRule="auto"/>
        <w:ind w:left="36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color w:val="212529"/>
          <w:lang w:eastAsia="ru-RU"/>
        </w:rPr>
        <w:t>4.</w:t>
      </w:r>
      <w:r w:rsidRPr="00D01BB4">
        <w:rPr>
          <w:rFonts w:ascii="PT-reg" w:eastAsia="Times New Roman" w:hAnsi="PT-reg" w:cs="Times New Roman"/>
          <w:color w:val="212529"/>
          <w:sz w:val="14"/>
          <w:szCs w:val="14"/>
          <w:lang w:eastAsia="ru-RU"/>
        </w:rPr>
        <w:t>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 xml:space="preserve">При поступлении запроса Исполнителю, 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вся информация,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 xml:space="preserve"> содержащаяся в запросе заявителей, (дата обращения, ИНН субъекта МСП, название субъекта МСП, контактный телефон, содержание вопроса) в электронном виде направляется в Центр инноваций социальной сферы на электронный адрес ciss34@mail.ru для 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ознакомления и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 xml:space="preserve"> получения согласования.</w:t>
      </w:r>
    </w:p>
    <w:p w14:paraId="4FC4968B" w14:textId="77777777" w:rsidR="00D01BB4" w:rsidRPr="00D01BB4" w:rsidRDefault="00D01BB4" w:rsidP="00D01BB4">
      <w:pPr>
        <w:shd w:val="clear" w:color="auto" w:fill="FFFFFF"/>
        <w:spacing w:after="270" w:line="240" w:lineRule="auto"/>
        <w:ind w:left="36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color w:val="212529"/>
          <w:lang w:eastAsia="ru-RU"/>
        </w:rPr>
        <w:t>5.</w:t>
      </w:r>
      <w:r w:rsidRPr="00D01BB4">
        <w:rPr>
          <w:rFonts w:ascii="PT-reg" w:eastAsia="Times New Roman" w:hAnsi="PT-reg" w:cs="Times New Roman"/>
          <w:color w:val="212529"/>
          <w:sz w:val="14"/>
          <w:szCs w:val="14"/>
          <w:lang w:eastAsia="ru-RU"/>
        </w:rPr>
        <w:t>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Исполнитель обязан</w:t>
      </w:r>
    </w:p>
    <w:p w14:paraId="43D02DE9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247E0E33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lastRenderedPageBreak/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оказывать консультации и/или услуги в рамках договора бесплатно субъектам МСП без взимания дополнительных денежных средств;</w:t>
      </w:r>
    </w:p>
    <w:p w14:paraId="12F38A1B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2405DD8A" w14:textId="77777777" w:rsidR="00D01BB4" w:rsidRPr="00D01BB4" w:rsidRDefault="00D01BB4" w:rsidP="00D01BB4">
      <w:pPr>
        <w:shd w:val="clear" w:color="auto" w:fill="FFFFFF"/>
        <w:spacing w:after="270" w:line="240" w:lineRule="auto"/>
        <w:ind w:left="36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color w:val="212529"/>
          <w:lang w:eastAsia="ru-RU"/>
        </w:rPr>
        <w:t>6.</w:t>
      </w:r>
      <w:r w:rsidRPr="00D01BB4">
        <w:rPr>
          <w:rFonts w:ascii="PT-reg" w:eastAsia="Times New Roman" w:hAnsi="PT-reg" w:cs="Times New Roman"/>
          <w:color w:val="212529"/>
          <w:sz w:val="14"/>
          <w:szCs w:val="14"/>
          <w:lang w:eastAsia="ru-RU"/>
        </w:rPr>
        <w:t>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Исполнитель предоставляет 1 раз в месяц, не позднее 25 числа каждого месяца следующие отчетные документы:</w:t>
      </w:r>
    </w:p>
    <w:p w14:paraId="1010C5A9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оригиналы запросов субъектов МСП с отметками субъектов о получении консультационных услуг;</w:t>
      </w:r>
    </w:p>
    <w:p w14:paraId="6E7BA5A8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анкеты удовлетворенности;</w:t>
      </w:r>
    </w:p>
    <w:p w14:paraId="188EFFE4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копии полученных консультаций при оказании консультационных услуг в письменной форме</w:t>
      </w:r>
    </w:p>
    <w:p w14:paraId="40FB89FF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выписки из реестра МСП на каждого субъекта, получившего услугу</w:t>
      </w:r>
    </w:p>
    <w:p w14:paraId="0CE9D002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журнал учёта лиц, в печатном и в электронном виде в формате </w:t>
      </w:r>
      <w:r w:rsidRPr="00D01BB4">
        <w:rPr>
          <w:rFonts w:ascii="PT-reg" w:eastAsia="Times New Roman" w:hAnsi="PT-reg" w:cs="Times New Roman"/>
          <w:color w:val="212529"/>
          <w:lang w:val="en-US" w:eastAsia="ru-RU"/>
        </w:rPr>
        <w:t>Excel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.</w:t>
      </w:r>
    </w:p>
    <w:p w14:paraId="00DDA470" w14:textId="77777777" w:rsidR="00D01BB4" w:rsidRPr="00D01BB4" w:rsidRDefault="00D01BB4" w:rsidP="00D01BB4">
      <w:pPr>
        <w:shd w:val="clear" w:color="auto" w:fill="FFFFFF"/>
        <w:spacing w:after="270" w:line="240" w:lineRule="auto"/>
        <w:ind w:left="360" w:hanging="360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color w:val="212529"/>
          <w:lang w:eastAsia="ru-RU"/>
        </w:rPr>
        <w:t>.</w:t>
      </w:r>
      <w:r w:rsidRPr="00D01BB4">
        <w:rPr>
          <w:rFonts w:ascii="PT-reg" w:eastAsia="Times New Roman" w:hAnsi="PT-reg" w:cs="Times New Roman"/>
          <w:color w:val="212529"/>
          <w:sz w:val="14"/>
          <w:szCs w:val="14"/>
          <w:lang w:eastAsia="ru-RU"/>
        </w:rPr>
        <w:t>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Исполнитель обязан обеспечить возможность предоставление консультационных услуг в очной форме на территории г. Волгограда, и в дистанционной форме для всех категорий получателей услуг.</w:t>
      </w:r>
    </w:p>
    <w:p w14:paraId="51FA09A5" w14:textId="77777777" w:rsidR="00D01BB4" w:rsidRPr="00D01BB4" w:rsidRDefault="00D01BB4" w:rsidP="00D01BB4">
      <w:pPr>
        <w:shd w:val="clear" w:color="auto" w:fill="FFFFFF"/>
        <w:spacing w:after="270" w:line="240" w:lineRule="auto"/>
        <w:ind w:left="36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color w:val="212529"/>
          <w:lang w:eastAsia="ru-RU"/>
        </w:rPr>
        <w:t>8.</w:t>
      </w:r>
      <w:r w:rsidRPr="00D01BB4">
        <w:rPr>
          <w:rFonts w:ascii="PT-reg" w:eastAsia="Times New Roman" w:hAnsi="PT-reg" w:cs="Times New Roman"/>
          <w:color w:val="212529"/>
          <w:sz w:val="14"/>
          <w:szCs w:val="14"/>
          <w:lang w:eastAsia="ru-RU"/>
        </w:rPr>
        <w:t>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0050D830" w14:textId="77777777" w:rsidR="00D01BB4" w:rsidRPr="00D01BB4" w:rsidRDefault="00D01BB4" w:rsidP="00D01BB4">
      <w:pPr>
        <w:shd w:val="clear" w:color="auto" w:fill="FFFFFF"/>
        <w:spacing w:after="270" w:line="240" w:lineRule="auto"/>
        <w:ind w:left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color w:val="212529"/>
          <w:lang w:eastAsia="ru-RU"/>
        </w:rPr>
        <w:t> </w:t>
      </w:r>
    </w:p>
    <w:p w14:paraId="38824ED4" w14:textId="77777777" w:rsidR="00D01BB4" w:rsidRPr="00D01BB4" w:rsidRDefault="00D01BB4" w:rsidP="00D01BB4">
      <w:pPr>
        <w:shd w:val="clear" w:color="auto" w:fill="FFFFFF"/>
        <w:spacing w:after="270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color w:val="212529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место оказания консультационных услуг;</w:t>
      </w:r>
    </w:p>
    <w:p w14:paraId="5BA88D8A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Symbol" w:eastAsia="Times New Roman" w:hAnsi="Symbol" w:cs="Times New Roman"/>
          <w:color w:val="333333"/>
          <w:lang w:eastAsia="ru-RU"/>
        </w:rPr>
        <w:t>-</w:t>
      </w:r>
      <w:r w:rsidRPr="00D01BB4">
        <w:rPr>
          <w:rFonts w:ascii="PT-reg" w:eastAsia="Times New Roman" w:hAnsi="PT-reg" w:cs="Times New Roman"/>
          <w:color w:val="333333"/>
          <w:sz w:val="14"/>
          <w:szCs w:val="14"/>
          <w:lang w:eastAsia="ru-RU"/>
        </w:rPr>
        <w:t>        </w:t>
      </w:r>
      <w:r w:rsidRPr="00D01BB4">
        <w:rPr>
          <w:rFonts w:ascii="PT-reg" w:eastAsia="Times New Roman" w:hAnsi="PT-reg" w:cs="Times New Roman"/>
          <w:color w:val="212529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0F6E33B2" w:rsidR="00D01BB4" w:rsidRPr="00D01BB4" w:rsidRDefault="00D01BB4" w:rsidP="00D01BB4">
      <w:pPr>
        <w:shd w:val="clear" w:color="auto" w:fill="FFFFFF"/>
        <w:spacing w:after="24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b/>
          <w:bCs/>
          <w:color w:val="212529"/>
          <w:lang w:eastAsia="ru-RU"/>
        </w:rPr>
        <w:t xml:space="preserve">Срок сбора коммерческих предложений: по </w:t>
      </w:r>
      <w:r>
        <w:rPr>
          <w:rFonts w:ascii="PT-reg" w:eastAsia="Times New Roman" w:hAnsi="PT-reg" w:cs="Times New Roman"/>
          <w:b/>
          <w:bCs/>
          <w:color w:val="212529"/>
          <w:lang w:eastAsia="ru-RU"/>
        </w:rPr>
        <w:t>30</w:t>
      </w:r>
      <w:r w:rsidRPr="00D01BB4">
        <w:rPr>
          <w:rFonts w:ascii="PT-reg" w:eastAsia="Times New Roman" w:hAnsi="PT-reg" w:cs="Times New Roman"/>
          <w:b/>
          <w:bCs/>
          <w:color w:val="212529"/>
          <w:lang w:eastAsia="ru-RU"/>
        </w:rPr>
        <w:t xml:space="preserve"> </w:t>
      </w:r>
      <w:r>
        <w:rPr>
          <w:rFonts w:ascii="PT-reg" w:eastAsia="Times New Roman" w:hAnsi="PT-reg" w:cs="Times New Roman"/>
          <w:b/>
          <w:bCs/>
          <w:color w:val="212529"/>
          <w:lang w:eastAsia="ru-RU"/>
        </w:rPr>
        <w:t>марта</w:t>
      </w:r>
      <w:r w:rsidRPr="00D01BB4">
        <w:rPr>
          <w:rFonts w:ascii="PT-reg" w:eastAsia="Times New Roman" w:hAnsi="PT-reg" w:cs="Times New Roman"/>
          <w:b/>
          <w:bCs/>
          <w:color w:val="212529"/>
          <w:lang w:eastAsia="ru-RU"/>
        </w:rPr>
        <w:t xml:space="preserve"> 2021 года включительно.</w:t>
      </w:r>
    </w:p>
    <w:p w14:paraId="37BD400D" w14:textId="77777777" w:rsidR="00D01BB4" w:rsidRPr="00D01BB4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D01BB4">
        <w:rPr>
          <w:rFonts w:ascii="PT-reg" w:eastAsia="Times New Roman" w:hAnsi="PT-reg" w:cs="Times New Roman"/>
          <w:color w:val="212529"/>
          <w:lang w:eastAsia="ru-RU"/>
        </w:rPr>
        <w:t>Коммерческие предложения направляются на электронный адрес:</w:t>
      </w:r>
      <w:r w:rsidRPr="00D01BB4">
        <w:rPr>
          <w:rFonts w:ascii="PT-reg" w:eastAsia="Times New Roman" w:hAnsi="PT-reg" w:cs="Times New Roman"/>
          <w:color w:val="212529"/>
          <w:lang w:val="en-US" w:eastAsia="ru-RU"/>
        </w:rPr>
        <w:t> </w:t>
      </w:r>
      <w:hyperlink r:id="rId5" w:history="1">
        <w:r w:rsidRPr="00D01BB4">
          <w:rPr>
            <w:rFonts w:ascii="PT-reg" w:eastAsia="Times New Roman" w:hAnsi="PT-reg" w:cs="Times New Roman"/>
            <w:color w:val="0088CC"/>
            <w:sz w:val="24"/>
            <w:szCs w:val="24"/>
            <w:u w:val="single"/>
            <w:lang w:eastAsia="ru-RU"/>
          </w:rPr>
          <w:t>ciss34@mail.ru</w:t>
        </w:r>
      </w:hyperlink>
      <w:r w:rsidRPr="00D01BB4">
        <w:rPr>
          <w:rFonts w:ascii="PT-reg" w:eastAsia="Times New Roman" w:hAnsi="PT-reg" w:cs="Times New Roman"/>
          <w:color w:val="212529"/>
          <w:lang w:eastAsia="ru-RU"/>
        </w:rPr>
        <w:t>. Дополнительные вопросы можно уточнить в Центре инноваций социальной сферы по телефону - 8(8442) 23-01-50</w:t>
      </w:r>
    </w:p>
    <w:p w14:paraId="13261271" w14:textId="77777777" w:rsidR="00E038B2" w:rsidRDefault="00E038B2"/>
    <w:sectPr w:rsidR="00E0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9D6D35"/>
    <w:rsid w:val="00D01BB4"/>
    <w:rsid w:val="00E0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34@bk.ru" TargetMode="External"/><Relationship Id="rId4" Type="http://schemas.openxmlformats.org/officeDocument/2006/relationships/hyperlink" Target="https://rmsp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2021-03-22T14:26:00Z</dcterms:created>
  <dcterms:modified xsi:type="dcterms:W3CDTF">2021-03-22T14:26:00Z</dcterms:modified>
</cp:coreProperties>
</file>